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C6" w:rsidRDefault="006E10C6" w:rsidP="006E10C6">
      <w:pPr>
        <w:rPr>
          <w:rFonts w:ascii="Garamond" w:hAnsi="Garamond"/>
          <w:b/>
        </w:rPr>
      </w:pPr>
      <w:r>
        <w:rPr>
          <w:rFonts w:ascii="Garamond" w:hAnsi="Garamond"/>
          <w:b/>
        </w:rPr>
        <w:t>Marilyn’s contributions to the Curriculum Committee Report (4/30/13)</w:t>
      </w:r>
    </w:p>
    <w:p w:rsidR="006E10C6" w:rsidRDefault="006E10C6" w:rsidP="006E10C6">
      <w:pPr>
        <w:rPr>
          <w:rFonts w:ascii="Garamond" w:hAnsi="Garamond"/>
        </w:rPr>
      </w:pPr>
    </w:p>
    <w:p w:rsidR="00BD2116" w:rsidRPr="00264780" w:rsidRDefault="00BD2116" w:rsidP="00BD2116">
      <w:pPr>
        <w:rPr>
          <w:rFonts w:ascii="Garamond" w:hAnsi="Garamond"/>
          <w:b/>
          <w:sz w:val="28"/>
          <w:szCs w:val="28"/>
        </w:rPr>
      </w:pPr>
      <w:bookmarkStart w:id="0" w:name="_GoBack"/>
      <w:bookmarkEnd w:id="0"/>
      <w:r>
        <w:rPr>
          <w:rFonts w:ascii="Garamond" w:hAnsi="Garamond"/>
          <w:b/>
          <w:sz w:val="28"/>
          <w:szCs w:val="28"/>
        </w:rPr>
        <w:t>Overview of</w:t>
      </w:r>
      <w:r w:rsidRPr="00264780">
        <w:rPr>
          <w:rFonts w:ascii="Garamond" w:hAnsi="Garamond"/>
          <w:b/>
          <w:sz w:val="28"/>
          <w:szCs w:val="28"/>
        </w:rPr>
        <w:t xml:space="preserve"> our current sustainability courses</w:t>
      </w:r>
      <w:r>
        <w:rPr>
          <w:rFonts w:ascii="Garamond" w:hAnsi="Garamond"/>
          <w:b/>
          <w:sz w:val="28"/>
          <w:szCs w:val="28"/>
        </w:rPr>
        <w:t xml:space="preserve"> &amp; degrees</w:t>
      </w:r>
    </w:p>
    <w:p w:rsidR="00BD2116" w:rsidRDefault="00BD2116" w:rsidP="00BD2116">
      <w:pPr>
        <w:rPr>
          <w:rFonts w:ascii="Garamond" w:hAnsi="Garamond"/>
        </w:rPr>
      </w:pPr>
      <w:r>
        <w:rPr>
          <w:rFonts w:ascii="Garamond" w:hAnsi="Garamond"/>
        </w:rPr>
        <w:t xml:space="preserve">The following diagrams provide an overview of the undergraduate courses included in the </w:t>
      </w:r>
      <w:r w:rsidRPr="007D69CE">
        <w:rPr>
          <w:rFonts w:ascii="Garamond" w:hAnsi="Garamond"/>
        </w:rPr>
        <w:t>existing list of “sustainability-focused courses” maintained by the Office of Environmental Stewardship and Sustainability (</w:t>
      </w:r>
      <w:hyperlink r:id="rId5" w:history="1">
        <w:r w:rsidRPr="007D69CE">
          <w:rPr>
            <w:rStyle w:val="Hyperlink"/>
            <w:rFonts w:ascii="Garamond" w:hAnsi="Garamond"/>
          </w:rPr>
          <w:t>http://f2.washington.edu/ess/content/sustainability-focused-courses</w:t>
        </w:r>
      </w:hyperlink>
      <w:r w:rsidRPr="007D69CE">
        <w:rPr>
          <w:rFonts w:ascii="Garamond" w:hAnsi="Garamond"/>
        </w:rPr>
        <w:t>).</w:t>
      </w:r>
      <w:r>
        <w:rPr>
          <w:rFonts w:ascii="Garamond" w:hAnsi="Garamond"/>
        </w:rPr>
        <w:t xml:space="preserve"> </w:t>
      </w:r>
    </w:p>
    <w:p w:rsidR="00BD2116" w:rsidRDefault="00BD2116" w:rsidP="00BD2116">
      <w:pPr>
        <w:rPr>
          <w:rFonts w:ascii="Garamond" w:hAnsi="Garamond"/>
        </w:rPr>
      </w:pPr>
    </w:p>
    <w:p w:rsidR="00BD2116" w:rsidRPr="00B10FF3" w:rsidRDefault="00BD2116" w:rsidP="00BD2116">
      <w:pPr>
        <w:pBdr>
          <w:top w:val="single" w:sz="4" w:space="1" w:color="auto"/>
          <w:left w:val="single" w:sz="4" w:space="4" w:color="auto"/>
          <w:bottom w:val="single" w:sz="4" w:space="1" w:color="auto"/>
          <w:right w:val="single" w:sz="4" w:space="4" w:color="auto"/>
        </w:pBdr>
        <w:rPr>
          <w:rFonts w:ascii="Garamond" w:hAnsi="Garamond"/>
          <w:b/>
        </w:rPr>
      </w:pPr>
      <w:r w:rsidRPr="00B10FF3">
        <w:rPr>
          <w:rFonts w:ascii="Garamond" w:hAnsi="Garamond"/>
          <w:b/>
        </w:rPr>
        <w:t>How these courses were identified</w:t>
      </w:r>
    </w:p>
    <w:p w:rsidR="00BD2116" w:rsidRPr="00B10FF3" w:rsidRDefault="00BD2116" w:rsidP="00BD2116">
      <w:pPr>
        <w:pBdr>
          <w:top w:val="single" w:sz="4" w:space="1" w:color="auto"/>
          <w:left w:val="single" w:sz="4" w:space="4" w:color="auto"/>
          <w:bottom w:val="single" w:sz="4" w:space="1" w:color="auto"/>
          <w:right w:val="single" w:sz="4" w:space="4" w:color="auto"/>
        </w:pBdr>
        <w:rPr>
          <w:rFonts w:ascii="Garamond" w:hAnsi="Garamond"/>
        </w:rPr>
      </w:pPr>
      <w:r w:rsidRPr="00B10FF3">
        <w:rPr>
          <w:rFonts w:ascii="Garamond" w:hAnsi="Garamond"/>
        </w:rPr>
        <w:t xml:space="preserve">The inventory of University of Washington Sustainability focused and related courses was completed in three phases. </w:t>
      </w:r>
    </w:p>
    <w:p w:rsidR="00BD2116" w:rsidRDefault="00BD2116" w:rsidP="00BD2116">
      <w:pPr>
        <w:pBdr>
          <w:top w:val="single" w:sz="4" w:space="1" w:color="auto"/>
          <w:left w:val="single" w:sz="4" w:space="4" w:color="auto"/>
          <w:bottom w:val="single" w:sz="4" w:space="1" w:color="auto"/>
          <w:right w:val="single" w:sz="4" w:space="4" w:color="auto"/>
        </w:pBdr>
        <w:rPr>
          <w:rFonts w:ascii="Garamond" w:hAnsi="Garamond"/>
          <w:i/>
        </w:rPr>
      </w:pPr>
    </w:p>
    <w:p w:rsidR="00BD2116" w:rsidRPr="00B10FF3" w:rsidRDefault="00BD2116" w:rsidP="00BD2116">
      <w:pPr>
        <w:pBdr>
          <w:top w:val="single" w:sz="4" w:space="1" w:color="auto"/>
          <w:left w:val="single" w:sz="4" w:space="4" w:color="auto"/>
          <w:bottom w:val="single" w:sz="4" w:space="1" w:color="auto"/>
          <w:right w:val="single" w:sz="4" w:space="4" w:color="auto"/>
        </w:pBdr>
        <w:rPr>
          <w:rFonts w:ascii="Garamond" w:hAnsi="Garamond"/>
        </w:rPr>
      </w:pPr>
      <w:r w:rsidRPr="00B10FF3">
        <w:rPr>
          <w:rFonts w:ascii="Garamond" w:hAnsi="Garamond"/>
          <w:i/>
        </w:rPr>
        <w:t>Phase 1</w:t>
      </w:r>
      <w:r w:rsidRPr="00B10FF3">
        <w:rPr>
          <w:rFonts w:ascii="Garamond" w:hAnsi="Garamond"/>
        </w:rPr>
        <w:t>: An initial filter of the entire University of Washington course catalog was performed searching titles and descriptions of courses for certain key words that would indicate the course may relate to the environment or sustainability. A staff member read through</w:t>
      </w:r>
      <w:r>
        <w:rPr>
          <w:rFonts w:ascii="Garamond" w:hAnsi="Garamond"/>
        </w:rPr>
        <w:t xml:space="preserve"> </w:t>
      </w:r>
      <w:r w:rsidRPr="00B10FF3">
        <w:rPr>
          <w:rFonts w:ascii="Garamond" w:hAnsi="Garamond"/>
        </w:rPr>
        <w:t xml:space="preserve">each of these to decide whether the context of the key words found was appropriate. A list of courses was then compiled from this search. </w:t>
      </w:r>
    </w:p>
    <w:p w:rsidR="00BD2116" w:rsidRDefault="00BD2116" w:rsidP="00BD2116">
      <w:pPr>
        <w:pBdr>
          <w:top w:val="single" w:sz="4" w:space="1" w:color="auto"/>
          <w:left w:val="single" w:sz="4" w:space="4" w:color="auto"/>
          <w:bottom w:val="single" w:sz="4" w:space="1" w:color="auto"/>
          <w:right w:val="single" w:sz="4" w:space="4" w:color="auto"/>
        </w:pBdr>
        <w:rPr>
          <w:rFonts w:ascii="Garamond" w:hAnsi="Garamond"/>
          <w:i/>
        </w:rPr>
      </w:pPr>
    </w:p>
    <w:p w:rsidR="00BD2116" w:rsidRPr="00B10FF3" w:rsidRDefault="00BD2116" w:rsidP="00BD2116">
      <w:pPr>
        <w:pBdr>
          <w:top w:val="single" w:sz="4" w:space="1" w:color="auto"/>
          <w:left w:val="single" w:sz="4" w:space="4" w:color="auto"/>
          <w:bottom w:val="single" w:sz="4" w:space="1" w:color="auto"/>
          <w:right w:val="single" w:sz="4" w:space="4" w:color="auto"/>
        </w:pBdr>
        <w:rPr>
          <w:rFonts w:ascii="Garamond" w:hAnsi="Garamond"/>
        </w:rPr>
      </w:pPr>
      <w:r w:rsidRPr="00B10FF3">
        <w:rPr>
          <w:rFonts w:ascii="Garamond" w:hAnsi="Garamond"/>
          <w:i/>
        </w:rPr>
        <w:t>Phase 2:</w:t>
      </w:r>
      <w:r w:rsidRPr="00B10FF3">
        <w:rPr>
          <w:rFonts w:ascii="Garamond" w:hAnsi="Garamond"/>
        </w:rPr>
        <w:t xml:space="preserve"> The College of the Environment asked faculty and departments to self-identify sustainability courses using the College's Environmental Literacy Statement and the definition of sustainability-focused courses provided by the Association for the Advancement of Sustainability in Higher Education (AASHE) within the Sustainability Tracking, Assessment &amp; Rating System</w:t>
      </w:r>
      <w:r>
        <w:rPr>
          <w:rFonts w:ascii="Garamond" w:hAnsi="Garamond"/>
        </w:rPr>
        <w:t xml:space="preserve"> </w:t>
      </w:r>
      <w:r w:rsidRPr="00B10FF3">
        <w:rPr>
          <w:rFonts w:ascii="Garamond" w:hAnsi="Garamond"/>
        </w:rPr>
        <w:t>(STARS): courses that focus on or concentrate on the concept of sustainability throughout the course, including its social, economic, and environmental dimensions, or examine an issue or topic using sustainability as a lens. After gathering recommended courses from faculty and departments, College of the Environment staff reviewed course objectives and course descriptions and assembled a list of sustainability focused courses offered</w:t>
      </w:r>
      <w:r>
        <w:rPr>
          <w:rFonts w:ascii="Garamond" w:hAnsi="Garamond"/>
        </w:rPr>
        <w:t xml:space="preserve"> </w:t>
      </w:r>
      <w:r w:rsidRPr="00B10FF3">
        <w:rPr>
          <w:rFonts w:ascii="Garamond" w:hAnsi="Garamond"/>
        </w:rPr>
        <w:t>in the College of the Environment.</w:t>
      </w:r>
    </w:p>
    <w:p w:rsidR="00BD2116" w:rsidRDefault="00BD2116" w:rsidP="00BD2116">
      <w:pPr>
        <w:pBdr>
          <w:top w:val="single" w:sz="4" w:space="1" w:color="auto"/>
          <w:left w:val="single" w:sz="4" w:space="4" w:color="auto"/>
          <w:bottom w:val="single" w:sz="4" w:space="1" w:color="auto"/>
          <w:right w:val="single" w:sz="4" w:space="4" w:color="auto"/>
        </w:pBdr>
        <w:rPr>
          <w:rFonts w:ascii="Garamond" w:hAnsi="Garamond"/>
          <w:i/>
        </w:rPr>
      </w:pPr>
    </w:p>
    <w:p w:rsidR="00BD2116" w:rsidRPr="00B10FF3" w:rsidRDefault="00BD2116" w:rsidP="00BD2116">
      <w:pPr>
        <w:pBdr>
          <w:top w:val="single" w:sz="4" w:space="1" w:color="auto"/>
          <w:left w:val="single" w:sz="4" w:space="4" w:color="auto"/>
          <w:bottom w:val="single" w:sz="4" w:space="1" w:color="auto"/>
          <w:right w:val="single" w:sz="4" w:space="4" w:color="auto"/>
        </w:pBdr>
        <w:rPr>
          <w:rFonts w:ascii="Garamond" w:hAnsi="Garamond"/>
        </w:rPr>
      </w:pPr>
      <w:r w:rsidRPr="00B10FF3">
        <w:rPr>
          <w:rFonts w:ascii="Garamond" w:hAnsi="Garamond"/>
          <w:i/>
        </w:rPr>
        <w:t>Phase 3:</w:t>
      </w:r>
      <w:r w:rsidRPr="00B10FF3">
        <w:rPr>
          <w:rFonts w:ascii="Garamond" w:hAnsi="Garamond"/>
        </w:rPr>
        <w:t xml:space="preserve"> These two lists were brought together by a committee in the College of the Environment, and separated into focused and related courses based on the same criteria in phase 2, but now including courses identified in phase 1 that are not within the College of the Environment. </w:t>
      </w:r>
    </w:p>
    <w:p w:rsidR="00BD2116" w:rsidRPr="00B10FF3" w:rsidRDefault="00BD2116" w:rsidP="00BD2116">
      <w:pPr>
        <w:pBdr>
          <w:top w:val="single" w:sz="4" w:space="1" w:color="auto"/>
          <w:left w:val="single" w:sz="4" w:space="4" w:color="auto"/>
          <w:bottom w:val="single" w:sz="4" w:space="1" w:color="auto"/>
          <w:right w:val="single" w:sz="4" w:space="4" w:color="auto"/>
        </w:pBdr>
        <w:rPr>
          <w:rFonts w:ascii="Garamond" w:hAnsi="Garamond"/>
        </w:rPr>
      </w:pPr>
      <w:r w:rsidRPr="00B10FF3">
        <w:rPr>
          <w:rFonts w:ascii="Garamond" w:hAnsi="Garamond"/>
        </w:rPr>
        <w:t>The list is maintained by reviewing the Monthly Curriculum Reports released by the University of Washington Curriculum Review</w:t>
      </w:r>
      <w:r>
        <w:rPr>
          <w:rFonts w:ascii="Garamond" w:hAnsi="Garamond"/>
        </w:rPr>
        <w:t xml:space="preserve"> </w:t>
      </w:r>
      <w:r w:rsidRPr="00B10FF3">
        <w:rPr>
          <w:rFonts w:ascii="Garamond" w:hAnsi="Garamond"/>
        </w:rPr>
        <w:t xml:space="preserve">Committee. </w:t>
      </w:r>
    </w:p>
    <w:p w:rsidR="00BD2116" w:rsidRPr="00B10FF3" w:rsidRDefault="00BD2116" w:rsidP="00BD2116">
      <w:pPr>
        <w:rPr>
          <w:rFonts w:ascii="Garamond" w:hAnsi="Garamond"/>
        </w:rPr>
      </w:pPr>
    </w:p>
    <w:p w:rsidR="00BD2116" w:rsidRDefault="00BD2116" w:rsidP="00BD2116">
      <w:pPr>
        <w:rPr>
          <w:rFonts w:ascii="Garamond" w:hAnsi="Garamond"/>
        </w:rPr>
      </w:pPr>
    </w:p>
    <w:p w:rsidR="00BD2116" w:rsidRPr="00965061" w:rsidRDefault="00BD2116" w:rsidP="00BD2116">
      <w:pPr>
        <w:rPr>
          <w:rFonts w:ascii="Garamond" w:hAnsi="Garamond"/>
        </w:rPr>
      </w:pPr>
      <w:r w:rsidRPr="007D69CE">
        <w:rPr>
          <w:rFonts w:ascii="Garamond" w:hAnsi="Garamond"/>
        </w:rPr>
        <w:t>Figure 1 shows the colleges and schools that offer these courses:</w:t>
      </w:r>
    </w:p>
    <w:p w:rsidR="00BD2116" w:rsidRDefault="00BD2116" w:rsidP="00BD2116">
      <w:r w:rsidRPr="009F27F0">
        <w:rPr>
          <w:noProof/>
        </w:rPr>
        <mc:AlternateContent>
          <mc:Choice Requires="wps">
            <w:drawing>
              <wp:anchor distT="0" distB="0" distL="114300" distR="114300" simplePos="0" relativeHeight="251659264" behindDoc="0" locked="0" layoutInCell="1" allowOverlap="1" wp14:anchorId="5670F8EF" wp14:editId="470ACC67">
                <wp:simplePos x="0" y="0"/>
                <wp:positionH relativeFrom="column">
                  <wp:posOffset>0</wp:posOffset>
                </wp:positionH>
                <wp:positionV relativeFrom="paragraph">
                  <wp:posOffset>71120</wp:posOffset>
                </wp:positionV>
                <wp:extent cx="5088255" cy="308610"/>
                <wp:effectExtent l="0" t="0" r="0" b="0"/>
                <wp:wrapSquare wrapText="bothSides"/>
                <wp:docPr id="5" name="TextBox 4"/>
                <wp:cNvGraphicFramePr/>
                <a:graphic xmlns:a="http://schemas.openxmlformats.org/drawingml/2006/main">
                  <a:graphicData uri="http://schemas.microsoft.com/office/word/2010/wordprocessingShape">
                    <wps:wsp>
                      <wps:cNvSpPr txBox="1"/>
                      <wps:spPr>
                        <a:xfrm>
                          <a:off x="0" y="0"/>
                          <a:ext cx="5088255" cy="308610"/>
                        </a:xfrm>
                        <a:prstGeom prst="rect">
                          <a:avLst/>
                        </a:prstGeom>
                        <a:noFill/>
                      </wps:spPr>
                      <wps:txbx>
                        <w:txbxContent>
                          <w:p w:rsidR="00BD2116" w:rsidRPr="00965061" w:rsidRDefault="00BD2116" w:rsidP="00BD2116">
                            <w:pPr>
                              <w:pStyle w:val="NormalWeb"/>
                              <w:spacing w:before="0" w:beforeAutospacing="0" w:after="0" w:afterAutospacing="0"/>
                              <w:rPr>
                                <w:sz w:val="28"/>
                                <w:szCs w:val="28"/>
                              </w:rPr>
                            </w:pPr>
                            <w:r w:rsidRPr="00965061">
                              <w:rPr>
                                <w:rFonts w:ascii="Helvetica Neue" w:hAnsi="Helvetica Neue" w:cs="Helvetica Neue"/>
                                <w:b/>
                                <w:bCs/>
                                <w:color w:val="000000" w:themeColor="text1"/>
                                <w:kern w:val="24"/>
                                <w:sz w:val="28"/>
                                <w:szCs w:val="28"/>
                              </w:rPr>
                              <w:t xml:space="preserve">Location of sustainability-focused </w:t>
                            </w:r>
                            <w:r>
                              <w:rPr>
                                <w:rFonts w:ascii="Helvetica Neue" w:hAnsi="Helvetica Neue" w:cs="Helvetica Neue"/>
                                <w:b/>
                                <w:bCs/>
                                <w:color w:val="000000" w:themeColor="text1"/>
                                <w:kern w:val="24"/>
                                <w:sz w:val="28"/>
                                <w:szCs w:val="28"/>
                              </w:rPr>
                              <w:t xml:space="preserve">undergraduate </w:t>
                            </w:r>
                            <w:r w:rsidRPr="00965061">
                              <w:rPr>
                                <w:rFonts w:ascii="Helvetica Neue" w:hAnsi="Helvetica Neue" w:cs="Helvetica Neue"/>
                                <w:b/>
                                <w:bCs/>
                                <w:color w:val="000000" w:themeColor="text1"/>
                                <w:kern w:val="24"/>
                                <w:sz w:val="28"/>
                                <w:szCs w:val="28"/>
                              </w:rPr>
                              <w:t>courses</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0;margin-top:5.6pt;width:400.65pt;height:24.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" filled="f" stroked="f">
                <v:textbox style="mso-fit-shape-to-text:t">
                  <w:txbxContent>
                    <w:p w:rsidR="00BD2116" w:rsidRPr="00965061" w:rsidRDefault="00BD2116" w:rsidP="00BD2116">
                      <w:pPr>
                        <w:pStyle w:val="NormalWeb"/>
                        <w:spacing w:before="0" w:beforeAutospacing="0" w:after="0" w:afterAutospacing="0"/>
                        <w:rPr>
                          <w:sz w:val="28"/>
                          <w:szCs w:val="28"/>
                        </w:rPr>
                      </w:pPr>
                      <w:r w:rsidRPr="00965061">
                        <w:rPr>
                          <w:rFonts w:ascii="Helvetica Neue" w:hAnsi="Helvetica Neue" w:cs="Helvetica Neue"/>
                          <w:b/>
                          <w:bCs/>
                          <w:color w:val="000000" w:themeColor="text1"/>
                          <w:kern w:val="24"/>
                          <w:sz w:val="28"/>
                          <w:szCs w:val="28"/>
                        </w:rPr>
                        <w:t xml:space="preserve">Location of sustainability-focused </w:t>
                      </w:r>
                      <w:r>
                        <w:rPr>
                          <w:rFonts w:ascii="Helvetica Neue" w:hAnsi="Helvetica Neue" w:cs="Helvetica Neue"/>
                          <w:b/>
                          <w:bCs/>
                          <w:color w:val="000000" w:themeColor="text1"/>
                          <w:kern w:val="24"/>
                          <w:sz w:val="28"/>
                          <w:szCs w:val="28"/>
                        </w:rPr>
                        <w:t xml:space="preserve">undergraduate </w:t>
                      </w:r>
                      <w:r w:rsidRPr="00965061">
                        <w:rPr>
                          <w:rFonts w:ascii="Helvetica Neue" w:hAnsi="Helvetica Neue" w:cs="Helvetica Neue"/>
                          <w:b/>
                          <w:bCs/>
                          <w:color w:val="000000" w:themeColor="text1"/>
                          <w:kern w:val="24"/>
                          <w:sz w:val="28"/>
                          <w:szCs w:val="28"/>
                        </w:rPr>
                        <w:t>courses</w:t>
                      </w:r>
                    </w:p>
                  </w:txbxContent>
                </v:textbox>
                <w10:wrap type="square"/>
              </v:shape>
            </w:pict>
          </mc:Fallback>
        </mc:AlternateContent>
      </w:r>
    </w:p>
    <w:p w:rsidR="00BD2116" w:rsidRDefault="00BD2116" w:rsidP="00BD2116"/>
    <w:p w:rsidR="00BD2116" w:rsidRDefault="00BD2116" w:rsidP="00BD2116"/>
    <w:p w:rsidR="00BD2116" w:rsidRDefault="00BD2116" w:rsidP="00BD2116">
      <w:r>
        <w:rPr>
          <w:noProof/>
        </w:rPr>
        <w:lastRenderedPageBreak/>
        <w:drawing>
          <wp:inline distT="0" distB="0" distL="0" distR="0" wp14:anchorId="0450749F" wp14:editId="1D96AC24">
            <wp:extent cx="5486400" cy="35384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38460"/>
                    </a:xfrm>
                    <a:prstGeom prst="rect">
                      <a:avLst/>
                    </a:prstGeom>
                    <a:noFill/>
                    <a:ln>
                      <a:noFill/>
                    </a:ln>
                  </pic:spPr>
                </pic:pic>
              </a:graphicData>
            </a:graphic>
          </wp:inline>
        </w:drawing>
      </w:r>
    </w:p>
    <w:p w:rsidR="00BD2116" w:rsidRDefault="00BD2116" w:rsidP="00BD2116">
      <w:pPr>
        <w:rPr>
          <w:rFonts w:ascii="Garamond" w:hAnsi="Garamond"/>
          <w:sz w:val="20"/>
          <w:szCs w:val="20"/>
        </w:rPr>
      </w:pPr>
      <w:r>
        <w:rPr>
          <w:rFonts w:ascii="Garamond" w:hAnsi="Garamond"/>
          <w:sz w:val="20"/>
          <w:szCs w:val="20"/>
        </w:rPr>
        <w:t xml:space="preserve">      </w:t>
      </w:r>
      <w:r w:rsidRPr="007D69CE">
        <w:rPr>
          <w:rFonts w:ascii="Garamond" w:hAnsi="Garamond"/>
          <w:sz w:val="20"/>
          <w:szCs w:val="20"/>
        </w:rPr>
        <w:t>Figure 1: Schools and colleges that offer the courses included in the list of sustainability-focused courses</w:t>
      </w:r>
    </w:p>
    <w:p w:rsidR="00BD2116" w:rsidRDefault="00BD2116" w:rsidP="00BD2116">
      <w:pPr>
        <w:rPr>
          <w:rFonts w:ascii="Garamond" w:hAnsi="Garamond"/>
        </w:rPr>
      </w:pPr>
    </w:p>
    <w:p w:rsidR="00BD2116" w:rsidRDefault="00BD2116" w:rsidP="00BD2116">
      <w:pPr>
        <w:rPr>
          <w:rFonts w:ascii="Garamond" w:hAnsi="Garamond"/>
        </w:rPr>
      </w:pPr>
      <w:r>
        <w:rPr>
          <w:rFonts w:ascii="Garamond" w:hAnsi="Garamond"/>
        </w:rPr>
        <w:t>Figure 2 shows which departments offer these courses:</w:t>
      </w:r>
    </w:p>
    <w:p w:rsidR="00BD2116" w:rsidRDefault="00BD2116" w:rsidP="00BD2116">
      <w:pPr>
        <w:rPr>
          <w:rFonts w:ascii="Garamond" w:hAnsi="Garamond"/>
        </w:rPr>
      </w:pPr>
    </w:p>
    <w:p w:rsidR="00BD2116" w:rsidRDefault="00BD2116" w:rsidP="00BD2116">
      <w:pPr>
        <w:rPr>
          <w:rFonts w:ascii="Garamond" w:hAnsi="Garamond"/>
          <w:sz w:val="20"/>
          <w:szCs w:val="20"/>
        </w:rPr>
      </w:pPr>
      <w:r>
        <w:rPr>
          <w:rFonts w:ascii="Garamond" w:hAnsi="Garamond"/>
          <w:noProof/>
          <w:sz w:val="20"/>
          <w:szCs w:val="20"/>
        </w:rPr>
        <w:drawing>
          <wp:inline distT="0" distB="0" distL="0" distR="0" wp14:anchorId="38569348" wp14:editId="6C5CFF74">
            <wp:extent cx="5486400" cy="3629263"/>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629263"/>
                    </a:xfrm>
                    <a:prstGeom prst="rect">
                      <a:avLst/>
                    </a:prstGeom>
                    <a:noFill/>
                    <a:ln>
                      <a:noFill/>
                    </a:ln>
                  </pic:spPr>
                </pic:pic>
              </a:graphicData>
            </a:graphic>
          </wp:inline>
        </w:drawing>
      </w:r>
    </w:p>
    <w:p w:rsidR="00BD2116" w:rsidRDefault="00BD2116" w:rsidP="00BD2116">
      <w:pPr>
        <w:rPr>
          <w:rFonts w:ascii="Garamond" w:hAnsi="Garamond"/>
          <w:sz w:val="20"/>
          <w:szCs w:val="20"/>
        </w:rPr>
      </w:pPr>
      <w:r>
        <w:rPr>
          <w:rFonts w:ascii="Garamond" w:hAnsi="Garamond"/>
          <w:sz w:val="20"/>
          <w:szCs w:val="20"/>
        </w:rPr>
        <w:t>Figure 2: Undergraduate courses included in the “list of sustainability-focused courses” maintained by the Office of Environmental Stewardship and Sustainability.</w:t>
      </w:r>
    </w:p>
    <w:p w:rsidR="00BD2116" w:rsidRDefault="00BD2116" w:rsidP="00BD2116">
      <w:pPr>
        <w:rPr>
          <w:rFonts w:ascii="Garamond" w:hAnsi="Garamond"/>
          <w:sz w:val="20"/>
          <w:szCs w:val="20"/>
        </w:rPr>
      </w:pPr>
    </w:p>
    <w:p w:rsidR="00BD2116" w:rsidRDefault="00BD2116" w:rsidP="00BD2116">
      <w:pPr>
        <w:rPr>
          <w:rFonts w:ascii="Garamond" w:hAnsi="Garamond"/>
          <w:sz w:val="20"/>
          <w:szCs w:val="20"/>
        </w:rPr>
      </w:pPr>
    </w:p>
    <w:p w:rsidR="00BD2116" w:rsidRDefault="00BD2116" w:rsidP="00BD2116">
      <w:pPr>
        <w:rPr>
          <w:rFonts w:ascii="Garamond" w:hAnsi="Garamond"/>
          <w:sz w:val="20"/>
          <w:szCs w:val="20"/>
        </w:rPr>
      </w:pPr>
    </w:p>
    <w:p w:rsidR="00BD2116" w:rsidRDefault="00BD2116" w:rsidP="00BD2116">
      <w:pPr>
        <w:rPr>
          <w:rFonts w:ascii="Garamond" w:hAnsi="Garamond"/>
        </w:rPr>
      </w:pPr>
      <w:r w:rsidRPr="000C2B70">
        <w:rPr>
          <w:rFonts w:ascii="Garamond" w:hAnsi="Garamond"/>
        </w:rPr>
        <w:t xml:space="preserve">Figure 5 lists </w:t>
      </w:r>
      <w:r>
        <w:rPr>
          <w:rFonts w:ascii="Garamond" w:hAnsi="Garamond"/>
        </w:rPr>
        <w:t xml:space="preserve">undergraduate </w:t>
      </w:r>
      <w:r w:rsidRPr="000C2B70">
        <w:rPr>
          <w:rFonts w:ascii="Garamond" w:hAnsi="Garamond"/>
        </w:rPr>
        <w:t xml:space="preserve">UW majors and specializations within majors that have a sustainability orientation. All three </w:t>
      </w:r>
      <w:r>
        <w:rPr>
          <w:rFonts w:ascii="Garamond" w:hAnsi="Garamond"/>
        </w:rPr>
        <w:t xml:space="preserve">UW </w:t>
      </w:r>
      <w:r w:rsidRPr="000C2B70">
        <w:rPr>
          <w:rFonts w:ascii="Garamond" w:hAnsi="Garamond"/>
        </w:rPr>
        <w:t xml:space="preserve">campuses have both a BA &amp; BS in Environment Studies/Sciences. </w:t>
      </w:r>
      <w:r>
        <w:rPr>
          <w:rFonts w:ascii="Garamond" w:hAnsi="Garamond"/>
        </w:rPr>
        <w:t>It is relevant to note that these degrees are very similar to degrees at other universities that are called “Sustainability” majors</w:t>
      </w:r>
      <w:r w:rsidRPr="000C2B70">
        <w:rPr>
          <w:rFonts w:ascii="Garamond" w:hAnsi="Garamond"/>
        </w:rPr>
        <w:t>.</w:t>
      </w:r>
      <w:r>
        <w:rPr>
          <w:rFonts w:ascii="Garamond" w:hAnsi="Garamond"/>
        </w:rPr>
        <w:t xml:space="preserve"> In other words, though the University of Washington doesn’t have anything that is </w:t>
      </w:r>
      <w:r w:rsidRPr="007D213A">
        <w:rPr>
          <w:rFonts w:ascii="Garamond" w:hAnsi="Garamond"/>
          <w:i/>
        </w:rPr>
        <w:t>called</w:t>
      </w:r>
      <w:r>
        <w:rPr>
          <w:rFonts w:ascii="Garamond" w:hAnsi="Garamond"/>
        </w:rPr>
        <w:t xml:space="preserve"> a “sustainability” we could consider the degrees we do offer sustainability majors based upon the models founnd elsewhere. </w:t>
      </w:r>
    </w:p>
    <w:p w:rsidR="00BD2116" w:rsidRPr="000C2B70" w:rsidRDefault="00BD2116" w:rsidP="00BD2116">
      <w:pPr>
        <w:rPr>
          <w:rFonts w:ascii="Garamond" w:hAnsi="Garamond"/>
        </w:rPr>
      </w:pPr>
    </w:p>
    <w:p w:rsidR="00BD2116" w:rsidRDefault="00BD2116" w:rsidP="00BD2116">
      <w:pPr>
        <w:rPr>
          <w:rFonts w:ascii="Garamond" w:hAnsi="Garamond"/>
          <w:sz w:val="20"/>
          <w:szCs w:val="20"/>
        </w:rPr>
      </w:pPr>
      <w:r w:rsidRPr="00DE28C9">
        <w:rPr>
          <w:rFonts w:ascii="Garamond" w:hAnsi="Garamond"/>
          <w:noProof/>
          <w:sz w:val="20"/>
          <w:szCs w:val="20"/>
        </w:rPr>
        <w:drawing>
          <wp:inline distT="0" distB="0" distL="0" distR="0" wp14:anchorId="46C0FE3A" wp14:editId="74E5BEEC">
            <wp:extent cx="5486400" cy="4006850"/>
            <wp:effectExtent l="0" t="0" r="0" b="63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486400" cy="4006850"/>
                    </a:xfrm>
                    <a:prstGeom prst="rect">
                      <a:avLst/>
                    </a:prstGeom>
                  </pic:spPr>
                </pic:pic>
              </a:graphicData>
            </a:graphic>
          </wp:inline>
        </w:drawing>
      </w:r>
    </w:p>
    <w:p w:rsidR="00BD2116" w:rsidRDefault="00BD2116" w:rsidP="00BD2116">
      <w:pPr>
        <w:rPr>
          <w:rFonts w:ascii="Garamond" w:hAnsi="Garamond"/>
          <w:sz w:val="20"/>
          <w:szCs w:val="20"/>
        </w:rPr>
      </w:pPr>
      <w:r>
        <w:rPr>
          <w:rFonts w:ascii="Garamond" w:hAnsi="Garamond"/>
          <w:sz w:val="20"/>
          <w:szCs w:val="20"/>
        </w:rPr>
        <w:t>Figure 5: Sustainability related degrees offered at the 3 UW campuses</w:t>
      </w:r>
    </w:p>
    <w:p w:rsidR="006C7204" w:rsidRDefault="006E10C6"/>
    <w:sectPr w:rsidR="006C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16"/>
    <w:rsid w:val="002D0E9E"/>
    <w:rsid w:val="00597424"/>
    <w:rsid w:val="006E10C6"/>
    <w:rsid w:val="00BD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116"/>
    <w:rPr>
      <w:color w:val="0000FF" w:themeColor="hyperlink"/>
      <w:u w:val="single"/>
    </w:rPr>
  </w:style>
  <w:style w:type="paragraph" w:styleId="NormalWeb">
    <w:name w:val="Normal (Web)"/>
    <w:basedOn w:val="Normal"/>
    <w:uiPriority w:val="99"/>
    <w:semiHidden/>
    <w:unhideWhenUsed/>
    <w:rsid w:val="00BD211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2116"/>
    <w:rPr>
      <w:rFonts w:ascii="Tahoma" w:hAnsi="Tahoma" w:cs="Tahoma"/>
      <w:sz w:val="16"/>
      <w:szCs w:val="16"/>
    </w:rPr>
  </w:style>
  <w:style w:type="character" w:customStyle="1" w:styleId="BalloonTextChar">
    <w:name w:val="Balloon Text Char"/>
    <w:basedOn w:val="DefaultParagraphFont"/>
    <w:link w:val="BalloonText"/>
    <w:uiPriority w:val="99"/>
    <w:semiHidden/>
    <w:rsid w:val="00BD211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116"/>
    <w:rPr>
      <w:color w:val="0000FF" w:themeColor="hyperlink"/>
      <w:u w:val="single"/>
    </w:rPr>
  </w:style>
  <w:style w:type="paragraph" w:styleId="NormalWeb">
    <w:name w:val="Normal (Web)"/>
    <w:basedOn w:val="Normal"/>
    <w:uiPriority w:val="99"/>
    <w:semiHidden/>
    <w:unhideWhenUsed/>
    <w:rsid w:val="00BD211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2116"/>
    <w:rPr>
      <w:rFonts w:ascii="Tahoma" w:hAnsi="Tahoma" w:cs="Tahoma"/>
      <w:sz w:val="16"/>
      <w:szCs w:val="16"/>
    </w:rPr>
  </w:style>
  <w:style w:type="character" w:customStyle="1" w:styleId="BalloonTextChar">
    <w:name w:val="Balloon Text Char"/>
    <w:basedOn w:val="DefaultParagraphFont"/>
    <w:link w:val="BalloonText"/>
    <w:uiPriority w:val="99"/>
    <w:semiHidden/>
    <w:rsid w:val="00BD211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f2.washington.edu/ess/content/sustainability-focused-cour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Glassman</dc:creator>
  <cp:lastModifiedBy>Elise Glassman</cp:lastModifiedBy>
  <cp:revision>2</cp:revision>
  <dcterms:created xsi:type="dcterms:W3CDTF">2013-05-31T00:18:00Z</dcterms:created>
  <dcterms:modified xsi:type="dcterms:W3CDTF">2013-05-31T00:18:00Z</dcterms:modified>
</cp:coreProperties>
</file>